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26-234</w:t>
      </w:r>
    </w:p>
    <w:p>
      <w:pPr>
        <w:spacing w:before="0" w:after="0" w:line="480"/>
        <w:ind w:left="120"/>
        <w:jc w:val="left"/>
      </w:pPr>
    </w:p>
    <w:p>
      <w:pPr>
        <w:spacing w:before="0" w:after="0" w:line="480"/>
        <w:ind w:left="120"/>
        <w:jc w:val="center"/>
      </w:pPr>
      <w:r>
        <w:rPr>
          <w:rFonts w:ascii="Times New Roman" w:hAnsi="Times New Roman"/>
          <w:b/>
          <w:i w:val="false"/>
          <w:color w:val="000000"/>
          <w:sz w:val="28"/>
        </w:rPr>
        <w:t>EMPLOYMENT APPEAL BOARD[486]</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486—Chapter 16</w:t>
      </w:r>
    </w:p>
    <w:p>
      <w:pPr>
        <w:spacing w:before="0" w:after="0" w:line="480"/>
        <w:ind w:left="120"/>
        <w:jc w:val="center"/>
      </w:pPr>
      <w:r>
        <w:rPr>
          <w:rFonts w:ascii="Times New Roman" w:hAnsi="Times New Roman"/>
          <w:b w:val="false"/>
          <w:i w:val="false"/>
          <w:color w:val="000000"/>
          <w:sz w:val="24"/>
        </w:rPr>
        <w:t>“State Employee Appeals of Grievance Decisions and Disciplinary Actions”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8A.415</w:t>
      </w:r>
    </w:p>
    <w:p>
      <w:pPr>
        <w:spacing w:before="0" w:after="0" w:line="480"/>
        <w:ind w:left="120"/>
        <w:jc w:val="both"/>
      </w:pPr>
      <w:r>
        <w:rPr>
          <w:rFonts w:ascii="Times New Roman" w:hAnsi="Times New Roman"/>
          <w:b w:val="false"/>
          <w:i w:val="false"/>
          <w:color w:val="000000"/>
          <w:sz w:val="24"/>
        </w:rPr>
        <w:t>State or federal law(s) implemented by the rulemaking: 2024 Iowa Acts, Senate File 2385, and Iowa Code chapter 8A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24, 2026</w:t>
            </w:r>
            <w:r>
              <w:br/>
            </w:r>
            <w:r>
              <w:rPr>
                <w:rFonts w:ascii="Times New Roman" w:hAnsi="Times New Roman"/>
                <w:b w:val="false"/>
                <w:i w:val="false"/>
                <w:color w:val="000000"/>
                <w:sz w:val="14"/>
              </w:rPr>
              <w:t>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w:t>
            </w:r>
            <w:r>
              <w:br/>
            </w:r>
            <w:hyperlink r:id="rId4">
              <w:r>
                <w:rPr>
                  <w:rStyle w:val="Hyperlink"/>
                  <w:rFonts w:ascii="Times New Roman" w:hAnsi="Times New Roman"/>
                  <w:b w:val="false"/>
                  <w:i w:val="false"/>
                  <w:color w:val="0000ff"/>
                  <w:sz w:val="14"/>
                </w:rPr>
                <w:t>meet.google.com/hxy-euaj-uzq</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Employment Appeal Board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Christine Louis</w:t>
            </w:r>
            <w:r>
              <w:br/>
            </w:r>
            <w:r>
              <w:rPr>
                <w:rFonts w:ascii="Times New Roman" w:hAnsi="Times New Roman"/>
                <w:b w:val="false"/>
                <w:i w:val="false"/>
                <w:color w:val="000000"/>
                <w:sz w:val="14"/>
              </w:rPr>
              <w:t>Employment Appeal Board</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eab.elections@eab.iowa.gov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includes revisions to administrative rules based on the requirements of Executive Order 10 and statutory changes based on 2024 Iowa Acts, Senate File 2385. This proposed rulemaking provides procedural rules for state employee appeals of grievance decisions and disciplinary actions.</w:t>
      </w:r>
    </w:p>
    <w:p>
      <w:pPr>
        <w:spacing w:before="0" w:after="0" w:line="480"/>
        <w:ind w:left="120"/>
        <w:jc w:val="both"/>
      </w:pPr>
      <w:r>
        <w:rPr>
          <w:rFonts w:ascii="Times New Roman" w:hAnsi="Times New Roman"/>
          <w:b w:val="false"/>
          <w:i w:val="false"/>
          <w:color w:val="000000"/>
          <w:sz w:val="24"/>
        </w:rPr>
        <w:t>    This chapter is being moved from the legacy Public Employee Relations Board agency number [621] to a new chapter within the Employment Appeal Board agency number [486]. These rules were previously located in 621—Chapter 11.</w:t>
      </w:r>
    </w:p>
    <w:p>
      <w:pPr>
        <w:spacing w:before="0" w:after="0" w:line="480"/>
        <w:ind w:left="120"/>
        <w:jc w:val="both"/>
      </w:pPr>
      <w:r>
        <w:rPr>
          <w:rFonts w:ascii="Times New Roman" w:hAnsi="Times New Roman"/>
          <w:b w:val="false"/>
          <w:i w:val="false"/>
          <w:color w:val="000000"/>
          <w:sz w:val="24"/>
        </w:rPr>
        <w:t>    The rules under legacy agency number [621] are proposed to be rescinded and reserved herein (</w:t>
      </w:r>
      <w:r>
        <w:rPr>
          <w:rFonts w:ascii="Times New Roman" w:hAnsi="Times New Roman"/>
          <w:b/>
          <w:i w:val="false"/>
          <w:color w:val="000000"/>
          <w:sz w:val="24"/>
        </w:rPr>
        <w:t>RA 26-246</w:t>
      </w:r>
      <w:r>
        <w:rPr>
          <w:rFonts w:ascii="Times New Roman" w:hAnsi="Times New Roman"/>
          <w:b w:val="false"/>
          <w:i w:val="false"/>
          <w:color w:val="000000"/>
          <w:sz w:val="24"/>
        </w:rPr>
        <w:t>, IAB 8/19/26).</w:t>
      </w:r>
    </w:p>
    <w:p>
      <w:pPr>
        <w:spacing w:before="0" w:after="0" w:line="480"/>
        <w:ind w:left="120"/>
        <w:jc w:val="both"/>
      </w:pPr>
      <w:r>
        <w:rPr>
          <w:rFonts w:ascii="Times New Roman" w:hAnsi="Times New Roman"/>
          <w:b w:val="false"/>
          <w:i w:val="false"/>
          <w:color w:val="000000"/>
          <w:sz w:val="24"/>
        </w:rPr>
        <w:t xml:space="preserve">    The reference to 486—Chapter 18 is to that as published herein as </w:t>
      </w:r>
      <w:r>
        <w:rPr>
          <w:rFonts w:ascii="Times New Roman" w:hAnsi="Times New Roman"/>
          <w:b/>
          <w:i w:val="false"/>
          <w:color w:val="000000"/>
          <w:sz w:val="24"/>
        </w:rPr>
        <w:t>RA 26-236</w:t>
      </w:r>
      <w:r>
        <w:rPr>
          <w:rFonts w:ascii="Times New Roman" w:hAnsi="Times New Roman"/>
          <w:b w:val="false"/>
          <w:i w:val="false"/>
          <w:color w:val="000000"/>
          <w:sz w:val="24"/>
        </w:rPr>
        <w:t>, IAB 8/19/26.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is no additional expected cost to the State or individuals.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State of Iowa agencies and State of Iowa employees will benefit from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changes are mandated by statute and executive order.</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expected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486—Chapter 16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16</w:t>
      </w:r>
    </w:p>
    <w:p>
      <w:pPr>
        <w:spacing w:before="0" w:after="0" w:line="480"/>
        <w:ind w:left="120"/>
        <w:jc w:val="center"/>
      </w:pPr>
      <w:r>
        <w:rPr>
          <w:rFonts w:ascii="Times New Roman" w:hAnsi="Times New Roman"/>
          <w:b w:val="false"/>
          <w:i w:val="false"/>
          <w:color w:val="000000"/>
          <w:sz w:val="21"/>
        </w:rPr>
        <w:t>STATE EMPLOYEE APPEALS OF GRIEVANCE DECISIONS AND DISCIPLINARY ACTIONS</w:t>
      </w:r>
    </w:p>
    <w:p>
      <w:pPr>
        <w:spacing w:before="210" w:after="0" w:line="480"/>
        <w:ind w:left="120"/>
        <w:jc w:val="both"/>
      </w:pPr>
      <w:r>
        <w:rPr>
          <w:rFonts w:ascii="Times New Roman" w:hAnsi="Times New Roman"/>
          <w:b/>
          <w:i w:val="false"/>
          <w:color w:val="000000"/>
          <w:sz w:val="24"/>
        </w:rPr>
        <w:t>486—16.1</w:t>
      </w:r>
      <w:r>
        <w:rPr>
          <w:rFonts w:ascii="Times New Roman" w:hAnsi="Times New Roman"/>
          <w:b/>
          <w:i w:val="false"/>
          <w:color w:val="000000"/>
          <w:sz w:val="24"/>
        </w:rPr>
        <w:t xml:space="preserve">(8A,20) </w:t>
      </w:r>
      <w:r>
        <w:rPr>
          <w:rFonts w:ascii="Times New Roman" w:hAnsi="Times New Roman"/>
          <w:b/>
          <w:i w:val="false"/>
          <w:color w:val="000000"/>
          <w:sz w:val="24"/>
        </w:rPr>
        <w:t xml:space="preserve">Notice of appeal rights. </w:t>
      </w:r>
      <w:r>
        <w:rPr>
          <w:rFonts w:ascii="Times New Roman" w:hAnsi="Times New Roman"/>
          <w:b w:val="false"/>
          <w:i w:val="false"/>
          <w:color w:val="000000"/>
          <w:sz w:val="24"/>
        </w:rPr>
        <w:t xml:space="preserve">When the director of the department of administrative services (hereinafter referred to as the director) issues a response to an employee pursuant to Iowa Code section </w:t>
      </w:r>
      <w:hyperlink r:id="rId6">
        <w:r>
          <w:rPr>
            <w:rStyle w:val="Hyperlink"/>
            <w:rFonts w:ascii="Times New Roman" w:hAnsi="Times New Roman"/>
            <w:b w:val="false"/>
            <w:i w:val="false"/>
            <w:color w:val="000000"/>
            <w:sz w:val="24"/>
          </w:rPr>
          <w:t>8A.415</w:t>
        </w:r>
      </w:hyperlink>
      <w:r>
        <w:rPr>
          <w:rFonts w:ascii="Times New Roman" w:hAnsi="Times New Roman"/>
          <w:b w:val="false"/>
          <w:i w:val="false"/>
          <w:color w:val="000000"/>
          <w:sz w:val="24"/>
        </w:rPr>
        <w:t xml:space="preserve"> and the response does not grant the relief sought by the employee, the response shall include notice to the affected employee that the employee may appeal the response by filing an appeal with the appeal board within 30 days of the date of the director’s response.</w:t>
      </w:r>
    </w:p>
    <w:p>
      <w:pPr>
        <w:spacing w:before="0" w:after="0" w:line="480"/>
        <w:ind w:left="120"/>
        <w:jc w:val="both"/>
      </w:pPr>
      <w:r>
        <w:rPr>
          <w:rFonts w:ascii="Times New Roman" w:hAnsi="Times New Roman"/>
          <w:b/>
          <w:i w:val="false"/>
          <w:color w:val="000000"/>
          <w:sz w:val="24"/>
        </w:rPr>
        <w:t>486—16.2</w:t>
      </w:r>
      <w:r>
        <w:rPr>
          <w:rFonts w:ascii="Times New Roman" w:hAnsi="Times New Roman"/>
          <w:b/>
          <w:i w:val="false"/>
          <w:color w:val="000000"/>
          <w:sz w:val="24"/>
        </w:rPr>
        <w:t xml:space="preserve">(8A,20) </w:t>
      </w:r>
      <w:r>
        <w:rPr>
          <w:rFonts w:ascii="Times New Roman" w:hAnsi="Times New Roman"/>
          <w:b/>
          <w:i w:val="false"/>
          <w:color w:val="000000"/>
          <w:sz w:val="24"/>
        </w:rPr>
        <w:t xml:space="preserve">Filing of appeal.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16.2(1)</w:t>
      </w:r>
      <w:r>
        <w:rPr>
          <w:rFonts w:ascii="Times New Roman" w:hAnsi="Times New Roman"/>
          <w:b w:val="false"/>
          <w:i w:val="false"/>
          <w:color w:val="000000"/>
          <w:sz w:val="24"/>
        </w:rPr>
        <w:t> </w:t>
      </w:r>
      <w:r>
        <w:rPr>
          <w:rFonts w:ascii="Times New Roman" w:hAnsi="Times New Roman"/>
          <w:b w:val="false"/>
          <w:i/>
          <w:color w:val="000000"/>
          <w:sz w:val="24"/>
        </w:rPr>
        <w:t xml:space="preserve">Grievances. </w:t>
      </w:r>
      <w:r>
        <w:rPr>
          <w:rFonts w:ascii="Times New Roman" w:hAnsi="Times New Roman"/>
          <w:b w:val="false"/>
          <w:i w:val="false"/>
          <w:color w:val="000000"/>
          <w:sz w:val="24"/>
        </w:rPr>
        <w:t>An employee, except an employee covered by a collective bargaining agreement that provides otherwise, who has filed a grievance and is not satisfied with the director’s response may file an appeal with the appeal board. Such appeal must be filed within 30 calendar days following the date the director’s response was issued. However, if no response was issued by the director within 30 calendar days following the filing of the third-step grievance with the director, the employee may consider the grievance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16.2(2)</w:t>
      </w:r>
      <w:r>
        <w:rPr>
          <w:rFonts w:ascii="Times New Roman" w:hAnsi="Times New Roman"/>
          <w:b w:val="false"/>
          <w:i w:val="false"/>
          <w:color w:val="000000"/>
          <w:sz w:val="24"/>
        </w:rPr>
        <w:t> </w:t>
      </w:r>
      <w:r>
        <w:rPr>
          <w:rFonts w:ascii="Times New Roman" w:hAnsi="Times New Roman"/>
          <w:b w:val="false"/>
          <w:i/>
          <w:color w:val="000000"/>
          <w:sz w:val="24"/>
        </w:rPr>
        <w:t xml:space="preserve">Disciplinary appeals. </w:t>
      </w:r>
      <w:r>
        <w:rPr>
          <w:rFonts w:ascii="Times New Roman" w:hAnsi="Times New Roman"/>
          <w:b w:val="false"/>
          <w:i w:val="false"/>
          <w:color w:val="000000"/>
          <w:sz w:val="24"/>
        </w:rPr>
        <w:t xml:space="preserve">A nonprobationary merit system employee as described in Iowa Code section </w:t>
      </w:r>
      <w:hyperlink r:id="rId7">
        <w:r>
          <w:rPr>
            <w:rStyle w:val="Hyperlink"/>
            <w:rFonts w:ascii="Times New Roman" w:hAnsi="Times New Roman"/>
            <w:b w:val="false"/>
            <w:i w:val="false"/>
            <w:color w:val="000000"/>
            <w:sz w:val="24"/>
          </w:rPr>
          <w:t>8A.412</w:t>
        </w:r>
      </w:hyperlink>
      <w:r>
        <w:rPr>
          <w:rFonts w:ascii="Times New Roman" w:hAnsi="Times New Roman"/>
          <w:b w:val="false"/>
          <w:i w:val="false"/>
          <w:color w:val="000000"/>
          <w:sz w:val="24"/>
        </w:rPr>
        <w:t>, except an employee covered by a collective bargaining agreement that provides otherwise, who is discharged, suspended, demoted, or otherwise receives a reduction in pay and who appeals the action to the director and is not satisfied with the director’s response may file an appeal with the appeal board. Such appeal must be filed within 30 calendar days following the date the director’s response was issued. However, if the director fails to issue a response within 30 calendar days following the filing of the appeal with the director, then the employee may consider the appeal denied and file an appeal with the appeal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16.2(3)</w:t>
      </w:r>
      <w:r>
        <w:rPr>
          <w:rFonts w:ascii="Times New Roman" w:hAnsi="Times New Roman"/>
          <w:b w:val="false"/>
          <w:i w:val="false"/>
          <w:color w:val="000000"/>
          <w:sz w:val="24"/>
        </w:rPr>
        <w:t> </w:t>
      </w:r>
      <w:r>
        <w:rPr>
          <w:rFonts w:ascii="Times New Roman" w:hAnsi="Times New Roman"/>
          <w:b w:val="false"/>
          <w:i/>
          <w:color w:val="000000"/>
          <w:sz w:val="24"/>
        </w:rPr>
        <w:t xml:space="preserve">Method of filing. </w:t>
      </w:r>
      <w:r>
        <w:rPr>
          <w:rFonts w:ascii="Times New Roman" w:hAnsi="Times New Roman"/>
          <w:b w:val="false"/>
          <w:i w:val="false"/>
          <w:color w:val="000000"/>
          <w:sz w:val="24"/>
        </w:rPr>
        <w:t xml:space="preserve">Appeals and all other pleadings must be electronically filed pursuant to </w:t>
      </w:r>
      <w:hyperlink r:id="rId8">
        <w:r>
          <w:rPr>
            <w:rStyle w:val="Hyperlink"/>
            <w:rFonts w:ascii="Times New Roman" w:hAnsi="Times New Roman"/>
            <w:b w:val="false"/>
            <w:i w:val="false"/>
            <w:color w:val="000000"/>
            <w:sz w:val="24"/>
          </w:rPr>
          <w:t>486—Chapter 18</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486—16.3</w:t>
      </w:r>
      <w:r>
        <w:rPr>
          <w:rFonts w:ascii="Times New Roman" w:hAnsi="Times New Roman"/>
          <w:b/>
          <w:i w:val="false"/>
          <w:color w:val="000000"/>
          <w:sz w:val="24"/>
        </w:rPr>
        <w:t xml:space="preserve">(8A,20) </w:t>
      </w:r>
      <w:r>
        <w:rPr>
          <w:rFonts w:ascii="Times New Roman" w:hAnsi="Times New Roman"/>
          <w:b/>
          <w:i w:val="false"/>
          <w:color w:val="000000"/>
          <w:sz w:val="24"/>
        </w:rPr>
        <w:t xml:space="preserve">Service of appeal. </w:t>
      </w:r>
      <w:r>
        <w:rPr>
          <w:rFonts w:ascii="Times New Roman" w:hAnsi="Times New Roman"/>
          <w:b w:val="false"/>
          <w:i w:val="false"/>
          <w:color w:val="000000"/>
          <w:sz w:val="24"/>
        </w:rPr>
        <w:t>The appeal board will serve a copy of the appeal on the director by electronic means when possible and, where service by electronic means is not possible, by personal service as provided in the Iowa Rules of Civil Procedure; by certified mail, return receipt requested; by first-class mail; or by publication as provided in the Iowa Rules of Civil Procedure.</w:t>
      </w:r>
    </w:p>
    <w:p>
      <w:pPr>
        <w:spacing w:before="0" w:after="0" w:line="480"/>
        <w:ind w:left="120"/>
        <w:jc w:val="both"/>
      </w:pPr>
      <w:r>
        <w:rPr>
          <w:rFonts w:ascii="Times New Roman" w:hAnsi="Times New Roman"/>
          <w:b/>
          <w:i w:val="false"/>
          <w:color w:val="000000"/>
          <w:sz w:val="24"/>
        </w:rPr>
        <w:t>486—16.4</w:t>
      </w:r>
      <w:r>
        <w:rPr>
          <w:rFonts w:ascii="Times New Roman" w:hAnsi="Times New Roman"/>
          <w:b/>
          <w:i w:val="false"/>
          <w:color w:val="000000"/>
          <w:sz w:val="24"/>
        </w:rPr>
        <w:t xml:space="preserve">(8A,20) </w:t>
      </w:r>
      <w:r>
        <w:rPr>
          <w:rFonts w:ascii="Times New Roman" w:hAnsi="Times New Roman"/>
          <w:b/>
          <w:i w:val="false"/>
          <w:color w:val="000000"/>
          <w:sz w:val="24"/>
        </w:rPr>
        <w:t xml:space="preserve">Content of appeal.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16.4(1)</w:t>
      </w:r>
      <w:r>
        <w:rPr>
          <w:rFonts w:ascii="Times New Roman" w:hAnsi="Times New Roman"/>
          <w:b w:val="false"/>
          <w:i w:val="false"/>
          <w:color w:val="000000"/>
          <w:sz w:val="24"/>
        </w:rPr>
        <w:t> </w:t>
      </w:r>
      <w:r>
        <w:rPr>
          <w:rFonts w:ascii="Times New Roman" w:hAnsi="Times New Roman"/>
          <w:b w:val="false"/>
          <w:i w:val="false"/>
          <w:color w:val="000000"/>
          <w:sz w:val="24"/>
        </w:rPr>
        <w:t>The appeal shall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Name, address, telephone number, and email address of the appealing employee;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Name of agency/department by which the appealing employee is/was employed;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brief statement of the reasons for the appealing employee’s dissatisfaction with the director’s response;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statement of the requested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name, address, telephone number, and email address of the appealing employee’s representative,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Signature of the appealing employee or employee’s representative;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case of a disciplinary action appeal filed pursuant to Iowa Code section </w:t>
      </w:r>
      <w:hyperlink r:id="rId9">
        <w:r>
          <w:rPr>
            <w:rStyle w:val="Hyperlink"/>
            <w:rFonts w:ascii="Times New Roman" w:hAnsi="Times New Roman"/>
            <w:b w:val="false"/>
            <w:i w:val="false"/>
            <w:color w:val="000000"/>
            <w:sz w:val="24"/>
          </w:rPr>
          <w:t>8A.415(2)</w:t>
        </w:r>
      </w:hyperlink>
      <w:r>
        <w:rPr>
          <w:rFonts w:ascii="Times New Roman" w:hAnsi="Times New Roman"/>
          <w:b w:val="false"/>
          <w:i w:val="false"/>
          <w:color w:val="000000"/>
          <w:sz w:val="24"/>
        </w:rPr>
        <w:t>, a statement of whether the employee requests a hearing open to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16.4(2)</w:t>
      </w:r>
      <w:r>
        <w:rPr>
          <w:rFonts w:ascii="Times New Roman" w:hAnsi="Times New Roman"/>
          <w:b w:val="false"/>
          <w:i w:val="false"/>
          <w:color w:val="000000"/>
          <w:sz w:val="24"/>
        </w:rPr>
        <w:t> </w:t>
      </w:r>
      <w:r>
        <w:rPr>
          <w:rFonts w:ascii="Times New Roman" w:hAnsi="Times New Roman"/>
          <w:b w:val="false"/>
          <w:i w:val="false"/>
          <w:color w:val="000000"/>
          <w:sz w:val="24"/>
        </w:rPr>
        <w:t xml:space="preserve">Completion of the State Employee Grievance and Disciplinary Action Appeal Form complies with all the requirements in subrule </w:t>
      </w:r>
      <w:hyperlink r:id="rId10">
        <w:r>
          <w:rPr>
            <w:rStyle w:val="Hyperlink"/>
            <w:rFonts w:ascii="Times New Roman" w:hAnsi="Times New Roman"/>
            <w:b w:val="false"/>
            <w:i w:val="false"/>
            <w:color w:val="000000"/>
            <w:sz w:val="24"/>
          </w:rPr>
          <w:t>16.4(1)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486—16.5</w:t>
      </w:r>
      <w:r>
        <w:rPr>
          <w:rFonts w:ascii="Times New Roman" w:hAnsi="Times New Roman"/>
          <w:b/>
          <w:i w:val="false"/>
          <w:color w:val="000000"/>
          <w:sz w:val="24"/>
        </w:rPr>
        <w:t xml:space="preserve">(8A,20) </w:t>
      </w:r>
      <w:r>
        <w:rPr>
          <w:rFonts w:ascii="Times New Roman" w:hAnsi="Times New Roman"/>
          <w:b/>
          <w:i w:val="false"/>
          <w:color w:val="000000"/>
          <w:sz w:val="24"/>
        </w:rPr>
        <w:t xml:space="preserve">Content of director’s response to the appeal.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16.5(1)</w:t>
      </w:r>
      <w:r>
        <w:rPr>
          <w:rFonts w:ascii="Times New Roman" w:hAnsi="Times New Roman"/>
          <w:b w:val="false"/>
          <w:i w:val="false"/>
          <w:color w:val="000000"/>
          <w:sz w:val="24"/>
        </w:rPr>
        <w:t> </w:t>
      </w:r>
      <w:r>
        <w:rPr>
          <w:rFonts w:ascii="Times New Roman" w:hAnsi="Times New Roman"/>
          <w:b w:val="false"/>
          <w:i w:val="false"/>
          <w:color w:val="000000"/>
          <w:sz w:val="24"/>
        </w:rPr>
        <w:t>The director should file a motion or answer within 15 days from the date of service of the employee’s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16.5(2)</w:t>
      </w:r>
      <w:r>
        <w:rPr>
          <w:rFonts w:ascii="Times New Roman" w:hAnsi="Times New Roman"/>
          <w:b w:val="false"/>
          <w:i w:val="false"/>
          <w:color w:val="000000"/>
          <w:sz w:val="24"/>
        </w:rPr>
        <w:t> </w:t>
      </w:r>
      <w:r>
        <w:rPr>
          <w:rFonts w:ascii="Times New Roman" w:hAnsi="Times New Roman"/>
          <w:b w:val="false"/>
          <w:i w:val="false"/>
          <w:color w:val="000000"/>
          <w:sz w:val="24"/>
        </w:rPr>
        <w:t>The motion or answer must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names of the appealing employee and the employing agency/department;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name, address, telephone number, and email address of the employing agency’s/department’s representative;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Signature of the employing agency’s/department’s representative.</w:t>
      </w:r>
    </w:p>
    <w:p>
      <w:pPr>
        <w:spacing w:before="0" w:after="0" w:line="480"/>
        <w:ind w:left="120"/>
        <w:jc w:val="both"/>
      </w:pPr>
      <w:r>
        <w:rPr>
          <w:rFonts w:ascii="Times New Roman" w:hAnsi="Times New Roman"/>
          <w:b/>
          <w:i w:val="false"/>
          <w:color w:val="000000"/>
          <w:sz w:val="24"/>
        </w:rPr>
        <w:t>486—16.6</w:t>
      </w:r>
      <w:r>
        <w:rPr>
          <w:rFonts w:ascii="Times New Roman" w:hAnsi="Times New Roman"/>
          <w:b/>
          <w:i w:val="false"/>
          <w:color w:val="000000"/>
          <w:sz w:val="24"/>
        </w:rPr>
        <w:t xml:space="preserve">(8A,20) </w:t>
      </w:r>
      <w:r>
        <w:rPr>
          <w:rFonts w:ascii="Times New Roman" w:hAnsi="Times New Roman"/>
          <w:b/>
          <w:i w:val="false"/>
          <w:color w:val="000000"/>
          <w:sz w:val="24"/>
        </w:rPr>
        <w:t xml:space="preserve">Right to a hearing.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16.6(1)</w:t>
      </w:r>
      <w:r>
        <w:rPr>
          <w:rFonts w:ascii="Times New Roman" w:hAnsi="Times New Roman"/>
          <w:b w:val="false"/>
          <w:i w:val="false"/>
          <w:color w:val="000000"/>
          <w:sz w:val="24"/>
        </w:rPr>
        <w:t> </w:t>
      </w:r>
      <w:r>
        <w:rPr>
          <w:rFonts w:ascii="Times New Roman" w:hAnsi="Times New Roman"/>
          <w:b w:val="false"/>
          <w:i w:val="false"/>
          <w:color w:val="000000"/>
          <w:sz w:val="24"/>
        </w:rPr>
        <w:t xml:space="preserve">An employee appealing a grievance pursuant to Iowa Code section </w:t>
      </w:r>
      <w:hyperlink r:id="rId11">
        <w:r>
          <w:rPr>
            <w:rStyle w:val="Hyperlink"/>
            <w:rFonts w:ascii="Times New Roman" w:hAnsi="Times New Roman"/>
            <w:b w:val="false"/>
            <w:i w:val="false"/>
            <w:color w:val="000000"/>
            <w:sz w:val="24"/>
          </w:rPr>
          <w:t>8A.415(1)</w:t>
        </w:r>
      </w:hyperlink>
      <w:r>
        <w:rPr>
          <w:rFonts w:ascii="Times New Roman" w:hAnsi="Times New Roman"/>
          <w:b w:val="false"/>
          <w:i w:val="false"/>
          <w:color w:val="000000"/>
          <w:sz w:val="24"/>
        </w:rPr>
        <w:t xml:space="preserve"> has a right to a hearing. The hearing must be open to the public. An employee appealing disciplinary action pursuant to Iowa Code section </w:t>
      </w:r>
      <w:hyperlink r:id="rId12">
        <w:r>
          <w:rPr>
            <w:rStyle w:val="Hyperlink"/>
            <w:rFonts w:ascii="Times New Roman" w:hAnsi="Times New Roman"/>
            <w:b w:val="false"/>
            <w:i w:val="false"/>
            <w:color w:val="000000"/>
            <w:sz w:val="24"/>
          </w:rPr>
          <w:t>8A.415(2)</w:t>
        </w:r>
      </w:hyperlink>
      <w:r>
        <w:rPr>
          <w:rFonts w:ascii="Times New Roman" w:hAnsi="Times New Roman"/>
          <w:b w:val="false"/>
          <w:i w:val="false"/>
          <w:color w:val="000000"/>
          <w:sz w:val="24"/>
        </w:rPr>
        <w:t xml:space="preserve"> has a right to a hearing that is closed to the public unless the employee requests a hearing open to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16.6(2)</w:t>
      </w:r>
      <w:r>
        <w:rPr>
          <w:rFonts w:ascii="Times New Roman" w:hAnsi="Times New Roman"/>
          <w:b w:val="false"/>
          <w:i w:val="false"/>
          <w:color w:val="000000"/>
          <w:sz w:val="24"/>
        </w:rPr>
        <w:t> </w:t>
      </w:r>
      <w:r>
        <w:rPr>
          <w:rFonts w:ascii="Times New Roman" w:hAnsi="Times New Roman"/>
          <w:b w:val="false"/>
          <w:i w:val="false"/>
          <w:color w:val="000000"/>
          <w:sz w:val="24"/>
        </w:rPr>
        <w:t>The board will file a transmittal form with a copy of the appeal attached. After the matter is transmitted, future filings must be made in the administrative hearings division’s electronic document management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16.6(3)</w:t>
      </w:r>
      <w:r>
        <w:rPr>
          <w:rFonts w:ascii="Times New Roman" w:hAnsi="Times New Roman"/>
          <w:b w:val="false"/>
          <w:i w:val="false"/>
          <w:color w:val="000000"/>
          <w:sz w:val="24"/>
        </w:rPr>
        <w:t> </w:t>
      </w:r>
      <w:r>
        <w:rPr>
          <w:rFonts w:ascii="Times New Roman" w:hAnsi="Times New Roman"/>
          <w:b w:val="false"/>
          <w:i w:val="false"/>
          <w:color w:val="000000"/>
          <w:sz w:val="24"/>
        </w:rPr>
        <w:t>After the case is transmitted to the administrative hearings division, it will be assigned a case number. The administrative hearings division will assign the proceeding to an administrative law judge to serve as a presiding officer. The administrative law judge will issue a notice for a prehearing conference or a notice of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16.6(4)</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contested case proceeding will be conducted pursuant to </w:t>
      </w:r>
      <w:hyperlink r:id="rId13">
        <w:r>
          <w:rPr>
            <w:rStyle w:val="Hyperlink"/>
            <w:rFonts w:ascii="Times New Roman" w:hAnsi="Times New Roman"/>
            <w:b w:val="false"/>
            <w:i w:val="false"/>
            <w:color w:val="000000"/>
            <w:sz w:val="24"/>
          </w:rPr>
          <w:t>481—Chapter 10</w:t>
        </w:r>
      </w:hyperlink>
      <w:r>
        <w:rPr>
          <w:rFonts w:ascii="Times New Roman" w:hAnsi="Times New Roman"/>
          <w:b w:val="false"/>
          <w:i w:val="false"/>
          <w:color w:val="000000"/>
          <w:sz w:val="24"/>
        </w:rPr>
        <w:t xml:space="preserve"> and any other administrative rule applicable to the specific type of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16.6(5)</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proposed decision of the presiding officer may be reviewed by the appeal board in accordance with rules </w:t>
      </w:r>
      <w:hyperlink r:id="rId14">
        <w:r>
          <w:rPr>
            <w:rStyle w:val="Hyperlink"/>
            <w:rFonts w:ascii="Times New Roman" w:hAnsi="Times New Roman"/>
            <w:b w:val="false"/>
            <w:i w:val="false"/>
            <w:color w:val="000000"/>
            <w:sz w:val="24"/>
          </w:rPr>
          <w:t>7—2506.27</w:t>
        </w:r>
      </w:hyperlink>
      <w:r>
        <w:rPr>
          <w:rFonts w:ascii="Times New Roman" w:hAnsi="Times New Roman"/>
          <w:b w:val="false"/>
          <w:i w:val="false"/>
          <w:color w:val="000000"/>
          <w:sz w:val="24"/>
        </w:rPr>
        <w:t xml:space="preserve">(17A) and </w:t>
      </w:r>
      <w:hyperlink r:id="rId15">
        <w:r>
          <w:rPr>
            <w:rStyle w:val="Hyperlink"/>
            <w:rFonts w:ascii="Times New Roman" w:hAnsi="Times New Roman"/>
            <w:b w:val="false"/>
            <w:i w:val="false"/>
            <w:color w:val="000000"/>
            <w:sz w:val="24"/>
          </w:rPr>
          <w:t>7—2506.28</w:t>
        </w:r>
      </w:hyperlink>
      <w:r>
        <w:rPr>
          <w:rFonts w:ascii="Times New Roman" w:hAnsi="Times New Roman"/>
          <w:b w:val="false"/>
          <w:i w:val="false"/>
          <w:color w:val="000000"/>
          <w:sz w:val="24"/>
        </w:rPr>
        <w:t>(17A). Appeals and appeal briefs must be filed in the appeal board’s electronic document management system under the original case number.</w:t>
      </w:r>
    </w:p>
    <w:p>
      <w:pPr>
        <w:spacing w:before="0" w:after="0" w:line="480"/>
        <w:ind w:left="120"/>
        <w:jc w:val="both"/>
      </w:pPr>
      <w:r>
        <w:rPr>
          <w:rFonts w:ascii="Times New Roman" w:hAnsi="Times New Roman"/>
          <w:b/>
          <w:i w:val="false"/>
          <w:color w:val="000000"/>
          <w:sz w:val="24"/>
        </w:rPr>
        <w:t>486—16.7</w:t>
      </w:r>
      <w:r>
        <w:rPr>
          <w:rFonts w:ascii="Times New Roman" w:hAnsi="Times New Roman"/>
          <w:b/>
          <w:i w:val="false"/>
          <w:color w:val="000000"/>
          <w:sz w:val="24"/>
        </w:rPr>
        <w:t xml:space="preserve">(8A,20) </w:t>
      </w:r>
      <w:r>
        <w:rPr>
          <w:rFonts w:ascii="Times New Roman" w:hAnsi="Times New Roman"/>
          <w:b/>
          <w:i w:val="false"/>
          <w:color w:val="000000"/>
          <w:sz w:val="24"/>
        </w:rPr>
        <w:t xml:space="preserve">Costs of certified shorthand reporters and transcripts.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16.7(1)</w:t>
      </w:r>
      <w:r>
        <w:rPr>
          <w:rFonts w:ascii="Times New Roman" w:hAnsi="Times New Roman"/>
          <w:b w:val="false"/>
          <w:i w:val="false"/>
          <w:color w:val="000000"/>
          <w:sz w:val="24"/>
        </w:rPr>
        <w:t> </w:t>
      </w:r>
      <w:r>
        <w:rPr>
          <w:rFonts w:ascii="Times New Roman" w:hAnsi="Times New Roman"/>
          <w:b w:val="false"/>
          <w:i/>
          <w:color w:val="000000"/>
          <w:sz w:val="24"/>
        </w:rPr>
        <w:t xml:space="preserve">Initial payment. </w:t>
      </w:r>
      <w:r>
        <w:rPr>
          <w:rFonts w:ascii="Times New Roman" w:hAnsi="Times New Roman"/>
          <w:b w:val="false"/>
          <w:i w:val="false"/>
          <w:color w:val="000000"/>
          <w:sz w:val="24"/>
        </w:rPr>
        <w:t>The appeal board will arrange for a certified shorthand reporter to report the contested case hearing and request that an original transcript of the hearing be prepared by the reporter for the appeal board’s use. The appeal board initially shall pay the reporter’s reasonable compensation for reporting the hearing and producing the transcript.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16.7(2)</w:t>
      </w:r>
      <w:r>
        <w:rPr>
          <w:rFonts w:ascii="Times New Roman" w:hAnsi="Times New Roman"/>
          <w:b w:val="false"/>
          <w:i w:val="false"/>
          <w:color w:val="000000"/>
          <w:sz w:val="24"/>
        </w:rPr>
        <w:t> </w:t>
      </w:r>
      <w:r>
        <w:rPr>
          <w:rFonts w:ascii="Times New Roman" w:hAnsi="Times New Roman"/>
          <w:b w:val="false"/>
          <w:i/>
          <w:color w:val="000000"/>
          <w:sz w:val="24"/>
        </w:rPr>
        <w:t xml:space="preserve">Taxation as costs. </w:t>
      </w:r>
      <w:r>
        <w:rPr>
          <w:rFonts w:ascii="Times New Roman" w:hAnsi="Times New Roman"/>
          <w:b w:val="false"/>
          <w:i w:val="false"/>
          <w:color w:val="000000"/>
          <w:sz w:val="24"/>
        </w:rPr>
        <w:t>The nonprevailing party or parties will be taxed the full cost of reporting and transcription unless the final order apportions these costs in another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16.7(3)</w:t>
      </w:r>
      <w:r>
        <w:rPr>
          <w:rFonts w:ascii="Times New Roman" w:hAnsi="Times New Roman"/>
          <w:b w:val="false"/>
          <w:i w:val="false"/>
          <w:color w:val="000000"/>
          <w:sz w:val="24"/>
        </w:rPr>
        <w:t> </w:t>
      </w:r>
      <w:r>
        <w:rPr>
          <w:rFonts w:ascii="Times New Roman" w:hAnsi="Times New Roman"/>
          <w:b w:val="false"/>
          <w:i/>
          <w:color w:val="000000"/>
          <w:sz w:val="24"/>
        </w:rPr>
        <w:t xml:space="preserve">Payment of taxed costs. </w:t>
      </w:r>
      <w:r>
        <w:rPr>
          <w:rFonts w:ascii="Times New Roman" w:hAnsi="Times New Roman"/>
          <w:b w:val="false"/>
          <w:i w:val="false"/>
          <w:color w:val="000000"/>
          <w:sz w:val="24"/>
        </w:rPr>
        <w:t xml:space="preserve">Following final action of the appeal board in a case, the appeal board will prepare and serve a bill of costs upon the party or parties against whom the costs have been taxed. Those parties shall, within 30 days of such service, remit to the appeal board the amount specified in the bill of costs. Sums remitted to the agency shall be considered appropriated receipts as defined in Iowa Code section </w:t>
      </w:r>
      <w:hyperlink r:id="rId16">
        <w:r>
          <w:rPr>
            <w:rStyle w:val="Hyperlink"/>
            <w:rFonts w:ascii="Times New Roman" w:hAnsi="Times New Roman"/>
            <w:b w:val="false"/>
            <w:i w:val="false"/>
            <w:color w:val="000000"/>
            <w:sz w:val="24"/>
          </w:rPr>
          <w:t>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17">
        <w:r>
          <w:rPr>
            <w:rStyle w:val="Hyperlink"/>
            <w:rFonts w:ascii="Times New Roman" w:hAnsi="Times New Roman"/>
            <w:b w:val="false"/>
            <w:i w:val="false"/>
            <w:color w:val="000000"/>
            <w:sz w:val="24"/>
          </w:rPr>
          <w:t>8A</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20</w:t>
        </w:r>
      </w:hyperlink>
      <w:r>
        <w:rPr>
          <w:rFonts w:ascii="Times New Roman" w:hAnsi="Times New Roman"/>
          <w:b w:val="false"/>
          <w:i w:val="false"/>
          <w:color w:val="000000"/>
          <w:sz w:val="24"/>
        </w:rPr>
        <w:t>.</w:t>
      </w:r>
    </w:p>
    <w:sectPr>
      <w:footerReference r:id="rId1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hxy-euaj-uzq" Type="http://schemas.openxmlformats.org/officeDocument/2006/relationships/hyperlink" Id="rId4"/>
    <Relationship TargetMode="External" Target="mailto:eab.elections@eab.iowa.gov" Type="http://schemas.openxmlformats.org/officeDocument/2006/relationships/hyperlink" Id="rId5"/>
    <Relationship TargetMode="External" Target="https://www.legis.iowa.gov/docs/ico/chapter/8A.415.pdf" Type="http://schemas.openxmlformats.org/officeDocument/2006/relationships/hyperlink" Id="rId6"/>
    <Relationship TargetMode="External" Target="https://www.legis.iowa.gov/docs/ico/chapter/8A.412.pdf" Type="http://schemas.openxmlformats.org/officeDocument/2006/relationships/hyperlink" Id="rId7"/>
    <Relationship TargetMode="External" Target="https://www.legis.iowa.gov/docs/iac/chapter/486.18.pdf" Type="http://schemas.openxmlformats.org/officeDocument/2006/relationships/hyperlink" Id="rId8"/>
    <Relationship TargetMode="External" Target="https://www.legis.iowa.gov/docs/ico/chapter/8A.415.pdf" Type="http://schemas.openxmlformats.org/officeDocument/2006/relationships/hyperlink" Id="rId9"/>
    <Relationship TargetMode="External" Target="https://www.legis.iowa.gov/docs/iac/rule/486.16.4.pdf" Type="http://schemas.openxmlformats.org/officeDocument/2006/relationships/hyperlink" Id="rId10"/>
    <Relationship TargetMode="External" Target="https://www.legis.iowa.gov/docs/ico/chapter/8A.415.pdf" Type="http://schemas.openxmlformats.org/officeDocument/2006/relationships/hyperlink" Id="rId11"/>
    <Relationship TargetMode="External" Target="https://www.legis.iowa.gov/docs/ico/chapter/8A.415.pdf" Type="http://schemas.openxmlformats.org/officeDocument/2006/relationships/hyperlink" Id="rId12"/>
    <Relationship TargetMode="External" Target="https://www.legis.iowa.gov/docs/iac/chapter/481.10.pdf" Type="http://schemas.openxmlformats.org/officeDocument/2006/relationships/hyperlink" Id="rId13"/>
    <Relationship TargetMode="External" Target="https://www.legis.iowa.gov/docs/iac/rule/7.2506.27.pdf" Type="http://schemas.openxmlformats.org/officeDocument/2006/relationships/hyperlink" Id="rId14"/>
    <Relationship TargetMode="External" Target="https://www.legis.iowa.gov/docs/iac/rule/7.2506.28.pdf" Type="http://schemas.openxmlformats.org/officeDocument/2006/relationships/hyperlink" Id="rId15"/>
    <Relationship TargetMode="External" Target="https://www.legis.iowa.gov/docs/ico/chapter/8.2.pdf" Type="http://schemas.openxmlformats.org/officeDocument/2006/relationships/hyperlink" Id="rId16"/>
    <Relationship TargetMode="External" Target="https://www.legis.iowa.gov/docs/ico/chapter/8A.pdf" Type="http://schemas.openxmlformats.org/officeDocument/2006/relationships/hyperlink" Id="rId17"/>
    <Relationship TargetMode="External" Target="https://www.legis.iowa.gov/docs/ico/chapter/20.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